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7"/>
        <w:gridCol w:w="738"/>
        <w:gridCol w:w="120"/>
        <w:gridCol w:w="1045"/>
        <w:gridCol w:w="583"/>
        <w:gridCol w:w="1479"/>
        <w:gridCol w:w="333"/>
        <w:gridCol w:w="332"/>
        <w:gridCol w:w="688"/>
        <w:gridCol w:w="108"/>
        <w:gridCol w:w="260"/>
        <w:gridCol w:w="345"/>
        <w:gridCol w:w="391"/>
        <w:gridCol w:w="740"/>
        <w:gridCol w:w="125"/>
        <w:gridCol w:w="1211"/>
        <w:gridCol w:w="1561"/>
      </w:tblGrid>
      <w:tr w:rsidR="0083158C" w:rsidRPr="0083158C" w:rsidTr="0083158C">
        <w:trPr>
          <w:cantSplit/>
          <w:trHeight w:val="406"/>
        </w:trPr>
        <w:tc>
          <w:tcPr>
            <w:tcW w:w="169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3158C" w:rsidRPr="0083158C" w:rsidRDefault="0083158C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580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3158C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83158C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969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3158C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277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3158C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326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8B2256" w:rsidRPr="0083158C" w:rsidTr="0083158C">
        <w:trPr>
          <w:cantSplit/>
          <w:trHeight w:val="136"/>
        </w:trPr>
        <w:tc>
          <w:tcPr>
            <w:tcW w:w="1815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3772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8B2256" w:rsidRPr="0083158C" w:rsidTr="0083158C">
        <w:trPr>
          <w:cantSplit/>
          <w:trHeight w:val="136"/>
        </w:trPr>
        <w:tc>
          <w:tcPr>
            <w:tcW w:w="1815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772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9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4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33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5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83158C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8B2256" w:rsidRPr="0083158C" w:rsidTr="0083158C">
        <w:trPr>
          <w:cantSplit/>
          <w:trHeight w:val="423"/>
        </w:trPr>
        <w:tc>
          <w:tcPr>
            <w:tcW w:w="1815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272E8D" w:rsidRPr="0083158C" w:rsidRDefault="00272E8D" w:rsidP="0083158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Asesoría jurídica en materia agraria, aplicando los mecanismos alternativos de solución a conflictos.</w:t>
            </w:r>
          </w:p>
        </w:tc>
        <w:tc>
          <w:tcPr>
            <w:tcW w:w="79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4C60B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15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377"/>
        </w:trPr>
        <w:tc>
          <w:tcPr>
            <w:tcW w:w="286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72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8B2256" w:rsidRPr="0083158C" w:rsidTr="0083158C">
        <w:trPr>
          <w:cantSplit/>
          <w:trHeight w:val="342"/>
        </w:trPr>
        <w:tc>
          <w:tcPr>
            <w:tcW w:w="2860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272E8D" w:rsidP="007D144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Campesinos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,</w:t>
            </w:r>
            <w:r w:rsidRPr="0083158C">
              <w:rPr>
                <w:rFonts w:ascii="Neo Sans Pro" w:hAnsi="Neo Sans Pro"/>
                <w:sz w:val="16"/>
                <w:szCs w:val="16"/>
              </w:rPr>
              <w:t xml:space="preserve"> pequeños propietarios, ejidatarios, c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omune</w:t>
            </w:r>
            <w:r w:rsidRPr="0083158C">
              <w:rPr>
                <w:rFonts w:ascii="Neo Sans Pro" w:hAnsi="Neo Sans Pro"/>
                <w:sz w:val="16"/>
                <w:szCs w:val="16"/>
              </w:rPr>
              <w:t>ros y organizaciones campesinas.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7D144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Cuando existe conflicto que se derive de la tenencia de la </w:t>
            </w:r>
            <w:r w:rsidR="00272E8D" w:rsidRPr="0083158C">
              <w:rPr>
                <w:rFonts w:ascii="Neo Sans Pro" w:hAnsi="Neo Sans Pro"/>
                <w:sz w:val="16"/>
                <w:szCs w:val="16"/>
              </w:rPr>
              <w:t>t</w:t>
            </w:r>
            <w:r w:rsidRPr="0083158C">
              <w:rPr>
                <w:rFonts w:ascii="Neo Sans Pro" w:hAnsi="Neo Sans Pro"/>
                <w:sz w:val="16"/>
                <w:szCs w:val="16"/>
              </w:rPr>
              <w:t>ierra</w:t>
            </w:r>
            <w:r w:rsidR="00272E8D" w:rsidRPr="0083158C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1D74B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8B2256" w:rsidRPr="0083158C" w:rsidTr="0083158C">
        <w:trPr>
          <w:cantSplit/>
          <w:trHeight w:val="361"/>
        </w:trPr>
        <w:tc>
          <w:tcPr>
            <w:tcW w:w="28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27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Inmediata</w:t>
            </w:r>
          </w:p>
        </w:tc>
      </w:tr>
      <w:tr w:rsidR="008B2256" w:rsidRPr="0083158C" w:rsidTr="0083158C">
        <w:trPr>
          <w:cantSplit/>
          <w:trHeight w:val="294"/>
        </w:trPr>
        <w:tc>
          <w:tcPr>
            <w:tcW w:w="2860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727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5429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49325D" w:rsidRPr="0083158C" w:rsidTr="0083158C">
        <w:trPr>
          <w:cantSplit/>
          <w:trHeight w:val="397"/>
        </w:trPr>
        <w:tc>
          <w:tcPr>
            <w:tcW w:w="5587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49325D" w:rsidRPr="0083158C" w:rsidRDefault="0049325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5429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88" w:type="dxa"/>
            </w:tcMar>
            <w:vAlign w:val="center"/>
          </w:tcPr>
          <w:p w:rsidR="0049325D" w:rsidRPr="0083158C" w:rsidRDefault="0049325D" w:rsidP="0049325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8F00C8" w:rsidRPr="0083158C" w:rsidTr="0083158C">
        <w:trPr>
          <w:cantSplit/>
          <w:trHeight w:val="397"/>
        </w:trPr>
        <w:tc>
          <w:tcPr>
            <w:tcW w:w="5587" w:type="dxa"/>
            <w:gridSpan w:val="8"/>
            <w:vMerge w:val="restart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F00C8" w:rsidRPr="0083158C" w:rsidRDefault="008F00C8" w:rsidP="00272E8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Incrementaría la incidencia en conductas delictivas, lo que generaría</w:t>
            </w:r>
          </w:p>
          <w:p w:rsidR="008F00C8" w:rsidRPr="0083158C" w:rsidRDefault="008F00C8" w:rsidP="00272E8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83158C">
              <w:rPr>
                <w:rFonts w:ascii="Neo Sans Pro" w:hAnsi="Neo Sans Pro"/>
                <w:sz w:val="16"/>
                <w:szCs w:val="16"/>
              </w:rPr>
              <w:t>inestabilidad</w:t>
            </w:r>
            <w:proofErr w:type="gramEnd"/>
            <w:r w:rsidRPr="0083158C">
              <w:rPr>
                <w:rFonts w:ascii="Neo Sans Pro" w:hAnsi="Neo Sans Pro"/>
                <w:sz w:val="16"/>
                <w:szCs w:val="16"/>
              </w:rPr>
              <w:t xml:space="preserve"> social en el ámbito del campo.</w:t>
            </w: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F00C8" w:rsidRPr="0083158C" w:rsidRDefault="008F00C8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F00C8" w:rsidRPr="0083158C" w:rsidRDefault="001D74B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8F00C8" w:rsidRPr="0083158C" w:rsidTr="0083158C">
        <w:trPr>
          <w:cantSplit/>
          <w:trHeight w:val="397"/>
        </w:trPr>
        <w:tc>
          <w:tcPr>
            <w:tcW w:w="5587" w:type="dxa"/>
            <w:gridSpan w:val="8"/>
            <w:vMerge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F00C8" w:rsidRPr="0083158C" w:rsidRDefault="008F00C8" w:rsidP="00272E8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F00C8" w:rsidRPr="0083158C" w:rsidRDefault="008F00C8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3158C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63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F00C8" w:rsidRPr="0083158C" w:rsidRDefault="008F00C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8B2256" w:rsidRPr="0083158C" w:rsidTr="0083158C">
        <w:trPr>
          <w:cantSplit/>
          <w:trHeight w:val="397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5429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8B2256" w:rsidRPr="0083158C" w:rsidTr="0083158C">
        <w:trPr>
          <w:cantSplit/>
          <w:trHeight w:val="143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D61C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Identificación oficial con f</w:t>
            </w:r>
            <w:r w:rsidR="00126A55" w:rsidRPr="0083158C">
              <w:rPr>
                <w:rFonts w:ascii="Neo Sans Pro" w:hAnsi="Neo Sans Pro"/>
                <w:sz w:val="16"/>
                <w:szCs w:val="16"/>
              </w:rPr>
              <w:t xml:space="preserve">otografía 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(</w:t>
            </w:r>
            <w:r w:rsidRPr="0083158C">
              <w:rPr>
                <w:rFonts w:ascii="Neo Sans Pro" w:hAnsi="Neo Sans Pro"/>
                <w:sz w:val="16"/>
                <w:szCs w:val="16"/>
              </w:rPr>
              <w:t>credencial para votar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,</w:t>
            </w:r>
            <w:r w:rsidRPr="0083158C">
              <w:rPr>
                <w:rFonts w:ascii="Neo Sans Pro" w:hAnsi="Neo Sans Pro"/>
                <w:sz w:val="16"/>
                <w:szCs w:val="16"/>
              </w:rPr>
              <w:t xml:space="preserve"> licencia, pasaporte, cédula p</w:t>
            </w:r>
            <w:r w:rsidR="00AD4883" w:rsidRPr="0083158C">
              <w:rPr>
                <w:rFonts w:ascii="Neo Sans Pro" w:hAnsi="Neo Sans Pro"/>
                <w:sz w:val="16"/>
                <w:szCs w:val="16"/>
              </w:rPr>
              <w:t>rofesional).*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429" w:type="dxa"/>
            <w:gridSpan w:val="9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12DC2" w:rsidRPr="0083158C" w:rsidRDefault="00FC421F" w:rsidP="00812DC2">
            <w:pPr>
              <w:pStyle w:val="Prrafodelista"/>
              <w:numPr>
                <w:ilvl w:val="0"/>
                <w:numId w:val="3"/>
              </w:numPr>
              <w:ind w:left="64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1°, 21, 25 y 27 de la </w:t>
            </w:r>
            <w:r w:rsidR="00812DC2" w:rsidRPr="0083158C">
              <w:rPr>
                <w:rFonts w:ascii="Neo Sans Pro" w:hAnsi="Neo Sans Pro"/>
                <w:sz w:val="16"/>
                <w:szCs w:val="16"/>
              </w:rPr>
              <w:t xml:space="preserve">Ley Nacional de Mecanismos Alternativos de Solución de Controversias en Materia Penal.  </w:t>
            </w:r>
          </w:p>
          <w:p w:rsidR="007D144F" w:rsidRPr="0083158C" w:rsidRDefault="002021ED" w:rsidP="00FC421F">
            <w:pPr>
              <w:pStyle w:val="Prrafodelista"/>
              <w:numPr>
                <w:ilvl w:val="0"/>
                <w:numId w:val="7"/>
              </w:numPr>
              <w:ind w:left="644"/>
              <w:jc w:val="both"/>
              <w:rPr>
                <w:rFonts w:ascii="Neo Sans Pro" w:hAnsi="Neo Sans Pro"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color w:val="auto"/>
                <w:sz w:val="16"/>
                <w:szCs w:val="16"/>
              </w:rPr>
              <w:t xml:space="preserve">Art. 2, 5, 6, y 7 </w:t>
            </w:r>
            <w:r w:rsidR="00B24BE5" w:rsidRPr="0083158C">
              <w:rPr>
                <w:rFonts w:ascii="Neo Sans Pro" w:hAnsi="Neo Sans Pro"/>
                <w:color w:val="auto"/>
                <w:sz w:val="16"/>
                <w:szCs w:val="16"/>
              </w:rPr>
              <w:t>de l</w:t>
            </w:r>
            <w:r w:rsidR="00AD4883" w:rsidRPr="0083158C">
              <w:rPr>
                <w:rFonts w:ascii="Neo Sans Pro" w:hAnsi="Neo Sans Pro"/>
                <w:color w:val="auto"/>
                <w:sz w:val="16"/>
                <w:szCs w:val="16"/>
              </w:rPr>
              <w:t>a Ley Orgánica de la Fiscalía General del Estado de Veracruz</w:t>
            </w:r>
            <w:r w:rsidRPr="0083158C">
              <w:rPr>
                <w:rFonts w:ascii="Neo Sans Pro" w:hAnsi="Neo Sans Pro"/>
                <w:color w:val="auto"/>
                <w:sz w:val="16"/>
                <w:szCs w:val="16"/>
              </w:rPr>
              <w:t xml:space="preserve"> de Ig</w:t>
            </w:r>
            <w:bookmarkStart w:id="0" w:name="_GoBack"/>
            <w:bookmarkEnd w:id="0"/>
            <w:r w:rsidRPr="0083158C">
              <w:rPr>
                <w:rFonts w:ascii="Neo Sans Pro" w:hAnsi="Neo Sans Pro"/>
                <w:color w:val="auto"/>
                <w:sz w:val="16"/>
                <w:szCs w:val="16"/>
              </w:rPr>
              <w:t>nacio de la Llave</w:t>
            </w:r>
            <w:r w:rsidR="00AD4883" w:rsidRPr="0083158C">
              <w:rPr>
                <w:rFonts w:ascii="Neo Sans Pro" w:hAnsi="Neo Sans Pro"/>
                <w:color w:val="auto"/>
                <w:sz w:val="16"/>
                <w:szCs w:val="16"/>
              </w:rPr>
              <w:t xml:space="preserve">. </w:t>
            </w:r>
          </w:p>
          <w:p w:rsidR="008B2256" w:rsidRPr="0083158C" w:rsidRDefault="00AD4883" w:rsidP="00FC421F">
            <w:pPr>
              <w:pStyle w:val="Prrafodelista"/>
              <w:numPr>
                <w:ilvl w:val="0"/>
                <w:numId w:val="7"/>
              </w:numPr>
              <w:ind w:left="64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  <w:lang w:val="es-MX"/>
              </w:rPr>
              <w:t>Art.</w:t>
            </w:r>
            <w:r w:rsidR="00B24BE5" w:rsidRPr="0083158C">
              <w:rPr>
                <w:rFonts w:ascii="Neo Sans Pro" w:hAnsi="Neo Sans Pro"/>
                <w:sz w:val="16"/>
                <w:szCs w:val="16"/>
                <w:lang w:val="es-MX"/>
              </w:rPr>
              <w:t xml:space="preserve">45 </w:t>
            </w:r>
            <w:proofErr w:type="spellStart"/>
            <w:r w:rsidR="00B24BE5" w:rsidRPr="0083158C">
              <w:rPr>
                <w:rFonts w:ascii="Neo Sans Pro" w:hAnsi="Neo Sans Pro"/>
                <w:sz w:val="16"/>
                <w:szCs w:val="16"/>
                <w:lang w:val="es-MX"/>
              </w:rPr>
              <w:t>Fracc</w:t>
            </w:r>
            <w:proofErr w:type="spellEnd"/>
            <w:r w:rsidR="00B24BE5" w:rsidRPr="0083158C">
              <w:rPr>
                <w:rFonts w:ascii="Neo Sans Pro" w:hAnsi="Neo Sans Pro"/>
                <w:sz w:val="16"/>
                <w:szCs w:val="16"/>
                <w:lang w:val="es-MX"/>
              </w:rPr>
              <w:t>. II i</w:t>
            </w:r>
            <w:r w:rsidR="00FC421F" w:rsidRPr="0083158C">
              <w:rPr>
                <w:rFonts w:ascii="Neo Sans Pro" w:hAnsi="Neo Sans Pro"/>
                <w:sz w:val="16"/>
                <w:szCs w:val="16"/>
                <w:lang w:val="es-MX"/>
              </w:rPr>
              <w:t xml:space="preserve">nciso d) y 50 </w:t>
            </w:r>
            <w:r w:rsidRPr="0083158C">
              <w:rPr>
                <w:rFonts w:ascii="Neo Sans Pro" w:hAnsi="Neo Sans Pro"/>
                <w:sz w:val="16"/>
                <w:szCs w:val="16"/>
                <w:lang w:val="es-MX"/>
              </w:rPr>
              <w:t>del Reglamento</w:t>
            </w:r>
            <w:r w:rsidR="00FC421F" w:rsidRPr="0083158C">
              <w:rPr>
                <w:rFonts w:ascii="Neo Sans Pro" w:hAnsi="Neo Sans Pro"/>
                <w:sz w:val="16"/>
                <w:szCs w:val="16"/>
              </w:rPr>
              <w:t xml:space="preserve"> de l</w:t>
            </w:r>
            <w:r w:rsidRPr="0083158C">
              <w:rPr>
                <w:rFonts w:ascii="Neo Sans Pro" w:hAnsi="Neo Sans Pro"/>
                <w:sz w:val="16"/>
                <w:szCs w:val="16"/>
              </w:rPr>
              <w:t>a Ley Orgánica de la Fiscalía General del Estado de Veracruz</w:t>
            </w:r>
            <w:r w:rsidR="0083158C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2021ED" w:rsidRPr="0083158C">
              <w:rPr>
                <w:rFonts w:ascii="Neo Sans Pro" w:hAnsi="Neo Sans Pro"/>
                <w:color w:val="auto"/>
                <w:sz w:val="16"/>
                <w:szCs w:val="16"/>
              </w:rPr>
              <w:t>de Ignacio de la Llave</w:t>
            </w:r>
            <w:r w:rsidRPr="0083158C">
              <w:rPr>
                <w:rFonts w:ascii="Neo Sans Pro" w:hAnsi="Neo Sans Pro"/>
                <w:sz w:val="16"/>
                <w:szCs w:val="16"/>
              </w:rPr>
              <w:t xml:space="preserve">. </w:t>
            </w:r>
          </w:p>
          <w:p w:rsidR="00FC421F" w:rsidRPr="0083158C" w:rsidRDefault="00FC421F" w:rsidP="004C60B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126A5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Comparecencia </w:t>
            </w:r>
            <w:r w:rsidR="00126A55" w:rsidRPr="0083158C">
              <w:rPr>
                <w:rFonts w:ascii="Neo Sans Pro" w:hAnsi="Neo Sans Pro"/>
                <w:sz w:val="16"/>
                <w:szCs w:val="16"/>
              </w:rPr>
              <w:t xml:space="preserve">voluntaria del propietario o </w:t>
            </w:r>
            <w:r w:rsidRPr="0083158C">
              <w:rPr>
                <w:rFonts w:ascii="Neo Sans Pro" w:hAnsi="Neo Sans Pro"/>
                <w:sz w:val="16"/>
                <w:szCs w:val="16"/>
              </w:rPr>
              <w:t>apoderado legal</w:t>
            </w:r>
            <w:r w:rsidR="00126A55" w:rsidRPr="0083158C">
              <w:rPr>
                <w:rFonts w:ascii="Neo Sans Pro" w:hAnsi="Neo Sans Pro"/>
                <w:sz w:val="16"/>
                <w:szCs w:val="16"/>
              </w:rPr>
              <w:t xml:space="preserve"> con escrito de petición</w:t>
            </w:r>
            <w:r w:rsidRPr="0083158C">
              <w:rPr>
                <w:rFonts w:ascii="Neo Sans Pro" w:hAnsi="Neo Sans Pro"/>
                <w:sz w:val="16"/>
                <w:szCs w:val="16"/>
              </w:rPr>
              <w:t xml:space="preserve">. 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126A55" w:rsidP="004C6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 Documento que acredite la posesión o p</w:t>
            </w:r>
            <w:r w:rsidR="00D61C29" w:rsidRPr="0083158C">
              <w:rPr>
                <w:rFonts w:ascii="Neo Sans Pro" w:hAnsi="Neo Sans Pro"/>
                <w:sz w:val="16"/>
                <w:szCs w:val="16"/>
              </w:rPr>
              <w:t>ropiedad.*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D61C29" w:rsidP="00D61C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 w:rsidP="00FC421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 xml:space="preserve">Pruebas documentales </w:t>
            </w:r>
            <w:r w:rsidR="00126A55" w:rsidRPr="0083158C">
              <w:rPr>
                <w:rFonts w:ascii="Neo Sans Pro" w:hAnsi="Neo Sans Pro"/>
                <w:sz w:val="16"/>
                <w:szCs w:val="16"/>
              </w:rPr>
              <w:t>públicas o privadas.</w:t>
            </w:r>
            <w:r w:rsidRPr="0083158C">
              <w:rPr>
                <w:rFonts w:ascii="Neo Sans Pro" w:hAnsi="Neo Sans Pro"/>
                <w:sz w:val="16"/>
                <w:szCs w:val="16"/>
              </w:rPr>
              <w:t>*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140"/>
        </w:trPr>
        <w:tc>
          <w:tcPr>
            <w:tcW w:w="4922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7D144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5429" w:type="dxa"/>
            <w:gridSpan w:val="9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B2256" w:rsidRPr="0083158C" w:rsidTr="0083158C">
        <w:trPr>
          <w:cantSplit/>
          <w:trHeight w:val="326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8B2256" w:rsidRPr="0083158C" w:rsidTr="0083158C">
        <w:trPr>
          <w:cantSplit/>
          <w:trHeight w:val="326"/>
        </w:trPr>
        <w:tc>
          <w:tcPr>
            <w:tcW w:w="344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54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402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8B2256" w:rsidRPr="0083158C" w:rsidTr="0083158C">
        <w:trPr>
          <w:cantSplit/>
          <w:trHeight w:val="326"/>
        </w:trPr>
        <w:tc>
          <w:tcPr>
            <w:tcW w:w="344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5A4162" w:rsidP="005A4162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 xml:space="preserve">Coordinación </w:t>
            </w:r>
            <w:r w:rsidR="00C444AF"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de</w:t>
            </w:r>
            <w:r w:rsidR="00AD4883"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 xml:space="preserve"> Asuntos Indígenas</w:t>
            </w:r>
          </w:p>
        </w:tc>
        <w:tc>
          <w:tcPr>
            <w:tcW w:w="354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402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</w:t>
            </w:r>
            <w:r w:rsidR="0014463B"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.</w:t>
            </w:r>
          </w:p>
        </w:tc>
      </w:tr>
      <w:tr w:rsidR="008B2256" w:rsidRPr="0083158C" w:rsidTr="0083158C">
        <w:trPr>
          <w:cantSplit/>
          <w:trHeight w:val="326"/>
        </w:trPr>
        <w:tc>
          <w:tcPr>
            <w:tcW w:w="6988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color w:val="auto"/>
                <w:sz w:val="16"/>
                <w:szCs w:val="16"/>
              </w:rPr>
              <w:t>Ubicación de la Fiscalía o Área</w:t>
            </w:r>
          </w:p>
        </w:tc>
        <w:tc>
          <w:tcPr>
            <w:tcW w:w="402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8B2256" w:rsidRPr="0083158C" w:rsidTr="0083158C">
        <w:trPr>
          <w:cantSplit/>
          <w:trHeight w:val="576"/>
        </w:trPr>
        <w:tc>
          <w:tcPr>
            <w:tcW w:w="6988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color w:val="auto"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402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FC421F" w:rsidRPr="0083158C" w:rsidRDefault="00FC421F" w:rsidP="00FC42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iernes de 9:00 a 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15:00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8B2256" w:rsidRPr="0083158C" w:rsidRDefault="00FC421F" w:rsidP="00FC42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y de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18:00 a 21:00 </w:t>
            </w:r>
            <w:proofErr w:type="spellStart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8B2256" w:rsidRPr="0083158C" w:rsidTr="0083158C">
        <w:trPr>
          <w:cantSplit/>
          <w:trHeight w:val="299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8B2256" w:rsidRPr="0083158C" w:rsidTr="0083158C">
        <w:trPr>
          <w:cantSplit/>
          <w:trHeight w:val="296"/>
        </w:trPr>
        <w:tc>
          <w:tcPr>
            <w:tcW w:w="3443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3158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D4883"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8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897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8B2256" w:rsidRPr="0083158C" w:rsidTr="0083158C">
        <w:trPr>
          <w:cantSplit/>
          <w:trHeight w:val="708"/>
        </w:trPr>
        <w:tc>
          <w:tcPr>
            <w:tcW w:w="957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48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5A4162" w:rsidP="00FC42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Fiscal Auxiliar de la Fiscalía Coordinadora Especializada en Asuntos Indígenas y de Derechos Humanos</w:t>
            </w:r>
          </w:p>
        </w:tc>
        <w:tc>
          <w:tcPr>
            <w:tcW w:w="1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FC421F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8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 w:rsidP="0083158C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Lunes a v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iernes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de</w:t>
            </w:r>
            <w:r w:rsidR="0083158C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01 (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228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84161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70Ext. 3001 y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3002</w:t>
            </w:r>
          </w:p>
        </w:tc>
        <w:tc>
          <w:tcPr>
            <w:tcW w:w="2897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fiscaliaasuntosindigenas@hotmail.com</w:t>
            </w:r>
          </w:p>
        </w:tc>
      </w:tr>
      <w:tr w:rsidR="008B2256" w:rsidRPr="0083158C" w:rsidTr="0083158C">
        <w:trPr>
          <w:cantSplit/>
          <w:trHeight w:val="703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:rsidR="008B2256" w:rsidRPr="0083158C" w:rsidRDefault="008B225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B2256" w:rsidRPr="0083158C" w:rsidRDefault="00AD48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486" w:type="dxa"/>
            <w:gridSpan w:val="4"/>
            <w:tcBorders>
              <w:top w:val="single" w:sz="4" w:space="0" w:color="17365D"/>
              <w:left w:val="single" w:sz="4" w:space="0" w:color="00000A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 w:rsidP="0083158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Contralor General de la FGE</w:t>
            </w:r>
          </w:p>
        </w:tc>
        <w:tc>
          <w:tcPr>
            <w:tcW w:w="1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83158C" w:rsidP="00FC421F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8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FC421F" w:rsidP="00FC421F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De 9:00 a 15:00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83158C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AD4883" w:rsidRPr="0083158C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7B4E7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01 (228)</w:t>
            </w:r>
            <w:r w:rsidR="005A4162"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8</w:t>
            </w:r>
            <w:r w:rsidRPr="0083158C">
              <w:rPr>
                <w:rFonts w:ascii="Neo Sans Pro" w:hAnsi="Neo Sans Pro"/>
                <w:bCs/>
                <w:sz w:val="16"/>
                <w:szCs w:val="16"/>
              </w:rPr>
              <w:t xml:space="preserve"> 1681200</w:t>
            </w:r>
          </w:p>
        </w:tc>
        <w:tc>
          <w:tcPr>
            <w:tcW w:w="2897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8B2256" w:rsidRPr="0083158C" w:rsidRDefault="00AD48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3158C">
              <w:rPr>
                <w:rFonts w:ascii="Neo Sans Pro" w:hAnsi="Neo Sans Pro"/>
                <w:bCs/>
                <w:sz w:val="16"/>
                <w:szCs w:val="16"/>
              </w:rPr>
              <w:t>jvcruz@veracruz.gob.mx</w:t>
            </w:r>
          </w:p>
        </w:tc>
      </w:tr>
      <w:tr w:rsidR="007D144F" w:rsidRPr="0083158C" w:rsidTr="0083158C">
        <w:trPr>
          <w:cantSplit/>
          <w:trHeight w:val="310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88" w:type="dxa"/>
            </w:tcMar>
            <w:vAlign w:val="center"/>
          </w:tcPr>
          <w:p w:rsidR="007D144F" w:rsidRPr="0083158C" w:rsidRDefault="007D144F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3158C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D144F" w:rsidRPr="0083158C" w:rsidTr="0083158C">
        <w:trPr>
          <w:cantSplit/>
          <w:trHeight w:val="587"/>
        </w:trPr>
        <w:tc>
          <w:tcPr>
            <w:tcW w:w="11016" w:type="dxa"/>
            <w:gridSpan w:val="1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88" w:type="dxa"/>
            </w:tcMar>
            <w:vAlign w:val="center"/>
          </w:tcPr>
          <w:p w:rsidR="007D144F" w:rsidRPr="0083158C" w:rsidRDefault="007D144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3158C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8B2256" w:rsidRDefault="008B2256" w:rsidP="00F95E20">
      <w:pPr>
        <w:tabs>
          <w:tab w:val="left" w:pos="7425"/>
        </w:tabs>
      </w:pPr>
    </w:p>
    <w:sectPr w:rsidR="008B2256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BC" w:rsidRDefault="007741BC" w:rsidP="008B2256">
      <w:r>
        <w:separator/>
      </w:r>
    </w:p>
  </w:endnote>
  <w:endnote w:type="continuationSeparator" w:id="0">
    <w:p w:rsidR="007741BC" w:rsidRDefault="007741BC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BC" w:rsidRDefault="007741BC" w:rsidP="008B2256">
      <w:r>
        <w:separator/>
      </w:r>
    </w:p>
  </w:footnote>
  <w:footnote w:type="continuationSeparator" w:id="0">
    <w:p w:rsidR="007741BC" w:rsidRDefault="007741BC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83158C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7E082107" wp14:editId="1A09C7B5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8C" w:rsidRDefault="0083158C" w:rsidP="0083158C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8C" w:rsidRDefault="0083158C" w:rsidP="0083158C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83158C" w:rsidRDefault="0083158C" w:rsidP="008315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83158C" w:rsidRDefault="0083158C" w:rsidP="0083158C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3158C" w:rsidRDefault="0083158C" w:rsidP="0083158C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83158C" w:rsidRDefault="0083158C" w:rsidP="0083158C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9B5"/>
    <w:multiLevelType w:val="hybridMultilevel"/>
    <w:tmpl w:val="29D8AF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2F7D91"/>
    <w:multiLevelType w:val="hybridMultilevel"/>
    <w:tmpl w:val="BF941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E20CD"/>
    <w:rsid w:val="0010375D"/>
    <w:rsid w:val="00120D80"/>
    <w:rsid w:val="00126A55"/>
    <w:rsid w:val="0014463B"/>
    <w:rsid w:val="001649A7"/>
    <w:rsid w:val="001866B9"/>
    <w:rsid w:val="001D6A61"/>
    <w:rsid w:val="001D74BD"/>
    <w:rsid w:val="002021ED"/>
    <w:rsid w:val="002053ED"/>
    <w:rsid w:val="00242ACB"/>
    <w:rsid w:val="00272E8D"/>
    <w:rsid w:val="002C1340"/>
    <w:rsid w:val="003B6ECD"/>
    <w:rsid w:val="0049325D"/>
    <w:rsid w:val="004C60BB"/>
    <w:rsid w:val="005A4162"/>
    <w:rsid w:val="005C7BD8"/>
    <w:rsid w:val="005E1EBF"/>
    <w:rsid w:val="006106F6"/>
    <w:rsid w:val="006B15E4"/>
    <w:rsid w:val="006E1544"/>
    <w:rsid w:val="006F03E0"/>
    <w:rsid w:val="007418FB"/>
    <w:rsid w:val="007741BC"/>
    <w:rsid w:val="007B02FD"/>
    <w:rsid w:val="007B4E73"/>
    <w:rsid w:val="007D144F"/>
    <w:rsid w:val="00812DC2"/>
    <w:rsid w:val="0083158C"/>
    <w:rsid w:val="008619B8"/>
    <w:rsid w:val="008B2256"/>
    <w:rsid w:val="008F00C8"/>
    <w:rsid w:val="008F4FC7"/>
    <w:rsid w:val="009B3FF9"/>
    <w:rsid w:val="009F3A5F"/>
    <w:rsid w:val="00A94D62"/>
    <w:rsid w:val="00AB1137"/>
    <w:rsid w:val="00AC22A2"/>
    <w:rsid w:val="00AD4883"/>
    <w:rsid w:val="00B24BE5"/>
    <w:rsid w:val="00C444AF"/>
    <w:rsid w:val="00C70D91"/>
    <w:rsid w:val="00C71D96"/>
    <w:rsid w:val="00CC6ADA"/>
    <w:rsid w:val="00D61C29"/>
    <w:rsid w:val="00E13D79"/>
    <w:rsid w:val="00E77C8B"/>
    <w:rsid w:val="00EB253B"/>
    <w:rsid w:val="00F95E20"/>
    <w:rsid w:val="00FB4365"/>
    <w:rsid w:val="00FC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222D-E569-4C1B-919A-98A36551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2017-01-10T16:11:00Z</cp:lastPrinted>
  <dcterms:created xsi:type="dcterms:W3CDTF">2017-01-10T16:33:00Z</dcterms:created>
  <dcterms:modified xsi:type="dcterms:W3CDTF">2017-04-03T16:58:00Z</dcterms:modified>
  <dc:language>es-MX</dc:language>
</cp:coreProperties>
</file>